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A9B1E" w14:textId="77777777" w:rsidR="003613E4" w:rsidRPr="00853DCF" w:rsidRDefault="004C0F76" w:rsidP="00646E3E">
      <w:pPr>
        <w:spacing w:after="0" w:line="240" w:lineRule="auto"/>
        <w:ind w:left="6521"/>
        <w:rPr>
          <w:rFonts w:ascii="Cambria" w:hAnsi="Cambria"/>
          <w:b/>
          <w:lang w:val="uk-UA"/>
        </w:rPr>
      </w:pPr>
      <w:r w:rsidRPr="00853DCF">
        <w:rPr>
          <w:rFonts w:ascii="Cambria" w:hAnsi="Cambria"/>
          <w:b/>
          <w:lang w:val="uk-UA"/>
        </w:rPr>
        <w:t>Додаток 2</w:t>
      </w:r>
    </w:p>
    <w:p w14:paraId="254DA138" w14:textId="77777777" w:rsidR="003613E4" w:rsidRPr="00853DCF" w:rsidRDefault="003613E4" w:rsidP="00646E3E">
      <w:pPr>
        <w:spacing w:after="0" w:line="240" w:lineRule="auto"/>
        <w:ind w:left="6521"/>
        <w:rPr>
          <w:rFonts w:ascii="Cambria" w:hAnsi="Cambria"/>
          <w:lang w:val="uk-UA"/>
        </w:rPr>
      </w:pPr>
      <w:r w:rsidRPr="00853DCF">
        <w:rPr>
          <w:rFonts w:ascii="Cambria" w:hAnsi="Cambria"/>
          <w:lang w:val="uk-UA"/>
        </w:rPr>
        <w:t xml:space="preserve">до договору про </w:t>
      </w:r>
      <w:r w:rsidR="00C83266">
        <w:rPr>
          <w:rFonts w:ascii="Cambria" w:hAnsi="Cambria"/>
          <w:lang w:val="uk-UA"/>
        </w:rPr>
        <w:t>постачання електричної енергії С</w:t>
      </w:r>
      <w:r w:rsidRPr="00853DCF">
        <w:rPr>
          <w:rFonts w:ascii="Cambria" w:hAnsi="Cambria"/>
          <w:lang w:val="uk-UA"/>
        </w:rPr>
        <w:t>поживачу</w:t>
      </w:r>
    </w:p>
    <w:p w14:paraId="2E2EBA96" w14:textId="77777777" w:rsidR="003613E4" w:rsidRPr="00853DCF" w:rsidRDefault="003613E4" w:rsidP="003613E4">
      <w:pPr>
        <w:spacing w:after="0" w:line="240" w:lineRule="auto"/>
        <w:jc w:val="both"/>
        <w:rPr>
          <w:rFonts w:ascii="Cambria" w:hAnsi="Cambria"/>
          <w:lang w:val="uk-UA"/>
        </w:rPr>
      </w:pPr>
    </w:p>
    <w:p w14:paraId="51B8CCC8" w14:textId="77777777" w:rsidR="003613E4" w:rsidRPr="00853DCF" w:rsidRDefault="003613E4" w:rsidP="003613E4">
      <w:pPr>
        <w:spacing w:after="0" w:line="240" w:lineRule="auto"/>
        <w:jc w:val="both"/>
        <w:rPr>
          <w:rFonts w:ascii="Cambria" w:hAnsi="Cambria"/>
          <w:lang w:val="uk-UA"/>
        </w:rPr>
      </w:pPr>
    </w:p>
    <w:p w14:paraId="3994E8A7" w14:textId="77777777" w:rsidR="003613E4" w:rsidRPr="00853DCF" w:rsidRDefault="00F236A6" w:rsidP="00646E3E">
      <w:pPr>
        <w:spacing w:after="0" w:line="240" w:lineRule="auto"/>
        <w:jc w:val="center"/>
        <w:rPr>
          <w:rFonts w:ascii="Cambria" w:hAnsi="Cambria"/>
          <w:b/>
          <w:lang w:val="uk-UA"/>
        </w:rPr>
      </w:pPr>
      <w:r w:rsidRPr="00853DCF">
        <w:rPr>
          <w:rFonts w:ascii="Cambria" w:hAnsi="Cambria"/>
          <w:b/>
          <w:lang w:val="uk-UA"/>
        </w:rPr>
        <w:t>КОМ</w:t>
      </w:r>
      <w:r w:rsidR="004C0F76" w:rsidRPr="00853DCF">
        <w:rPr>
          <w:rFonts w:ascii="Cambria" w:hAnsi="Cambria"/>
          <w:b/>
          <w:lang w:val="uk-UA"/>
        </w:rPr>
        <w:t>ЕРЦІЙНА ПРОПОЗИЦІЯ №1</w:t>
      </w:r>
    </w:p>
    <w:p w14:paraId="20AE19E6" w14:textId="77777777" w:rsidR="003613E4" w:rsidRPr="00853DCF" w:rsidRDefault="004C0F76" w:rsidP="00646E3E">
      <w:pPr>
        <w:spacing w:after="0" w:line="240" w:lineRule="auto"/>
        <w:jc w:val="center"/>
        <w:rPr>
          <w:rFonts w:ascii="Cambria" w:hAnsi="Cambria"/>
          <w:lang w:val="uk-UA"/>
        </w:rPr>
      </w:pPr>
      <w:r w:rsidRPr="00853DCF">
        <w:rPr>
          <w:rFonts w:ascii="Cambria" w:hAnsi="Cambria"/>
          <w:lang w:val="uk-UA"/>
        </w:rPr>
        <w:t>постачальника електричної енергії</w:t>
      </w:r>
    </w:p>
    <w:p w14:paraId="52244E1E" w14:textId="1E8A3950" w:rsidR="004C0F76" w:rsidRPr="00BC3D7E" w:rsidRDefault="004C0F76" w:rsidP="00646E3E">
      <w:pPr>
        <w:spacing w:after="0" w:line="240" w:lineRule="auto"/>
        <w:jc w:val="center"/>
        <w:rPr>
          <w:rFonts w:ascii="Cambria" w:hAnsi="Cambria"/>
        </w:rPr>
      </w:pPr>
      <w:r w:rsidRPr="00853DCF">
        <w:rPr>
          <w:rFonts w:ascii="Cambria" w:hAnsi="Cambria"/>
          <w:lang w:val="uk-UA"/>
        </w:rPr>
        <w:t>ТОВ «</w:t>
      </w:r>
      <w:r w:rsidR="004754EA">
        <w:rPr>
          <w:rFonts w:ascii="Cambria" w:hAnsi="Cambria"/>
          <w:lang w:val="uk-UA"/>
        </w:rPr>
        <w:t>ІТ Енергія</w:t>
      </w:r>
      <w:r w:rsidRPr="00853DCF">
        <w:rPr>
          <w:rFonts w:ascii="Cambria" w:hAnsi="Cambria"/>
          <w:lang w:val="uk-UA"/>
        </w:rPr>
        <w:t>»</w:t>
      </w:r>
    </w:p>
    <w:p w14:paraId="55D5AC44" w14:textId="77777777" w:rsidR="004819EE" w:rsidRPr="00BC3D7E" w:rsidRDefault="004819EE" w:rsidP="00646E3E">
      <w:pPr>
        <w:spacing w:after="0" w:line="240" w:lineRule="auto"/>
        <w:jc w:val="center"/>
        <w:rPr>
          <w:rFonts w:ascii="Cambria" w:hAnsi="Cambria"/>
        </w:rPr>
      </w:pPr>
    </w:p>
    <w:p w14:paraId="013E7E9B" w14:textId="77777777" w:rsidR="004819EE" w:rsidRPr="00853DCF" w:rsidRDefault="004819EE" w:rsidP="004819EE">
      <w:pPr>
        <w:spacing w:after="0" w:line="240" w:lineRule="auto"/>
        <w:jc w:val="center"/>
        <w:rPr>
          <w:rFonts w:ascii="Cambria" w:hAnsi="Cambria"/>
          <w:lang w:val="uk-UA"/>
        </w:rPr>
      </w:pPr>
      <w:r w:rsidRPr="00853DCF">
        <w:rPr>
          <w:rFonts w:ascii="Cambria" w:hAnsi="Cambria"/>
          <w:lang w:val="uk-UA"/>
        </w:rPr>
        <w:t xml:space="preserve">(з оплатою вартості розподілу Споживачем безпосередньо оператору систем розподілу) </w:t>
      </w:r>
    </w:p>
    <w:p w14:paraId="558BA1E0" w14:textId="77777777" w:rsidR="003613E4" w:rsidRPr="00853DCF" w:rsidRDefault="003613E4" w:rsidP="003613E4">
      <w:pPr>
        <w:spacing w:after="0" w:line="240" w:lineRule="auto"/>
        <w:jc w:val="both"/>
        <w:rPr>
          <w:rFonts w:ascii="Cambria" w:hAnsi="Cambria"/>
          <w:lang w:val="uk-UA"/>
        </w:rPr>
      </w:pPr>
    </w:p>
    <w:p w14:paraId="68CDF699" w14:textId="77777777" w:rsidR="004C0F76" w:rsidRPr="00853DCF" w:rsidRDefault="004C0F76" w:rsidP="00E54352">
      <w:pPr>
        <w:spacing w:after="120" w:line="240" w:lineRule="auto"/>
        <w:ind w:firstLine="708"/>
        <w:jc w:val="both"/>
        <w:rPr>
          <w:rFonts w:ascii="Cambria" w:hAnsi="Cambria"/>
          <w:lang w:val="uk-UA"/>
        </w:rPr>
      </w:pPr>
      <w:r w:rsidRPr="00853DCF">
        <w:rPr>
          <w:rFonts w:ascii="Cambria" w:hAnsi="Cambria"/>
          <w:lang w:val="uk-UA"/>
        </w:rPr>
        <w:t xml:space="preserve">1. Ця комерційна пропозиція застосовується </w:t>
      </w:r>
      <w:r w:rsidR="00E54352" w:rsidRPr="00853DCF">
        <w:rPr>
          <w:rFonts w:ascii="Cambria" w:hAnsi="Cambria"/>
          <w:lang w:val="uk-UA"/>
        </w:rPr>
        <w:t>згідно з Договором</w:t>
      </w:r>
      <w:r w:rsidRPr="00853DCF">
        <w:rPr>
          <w:rFonts w:ascii="Cambria" w:hAnsi="Cambria"/>
          <w:lang w:val="uk-UA"/>
        </w:rPr>
        <w:t xml:space="preserve"> </w:t>
      </w:r>
      <w:r w:rsidR="00E54352" w:rsidRPr="00853DCF">
        <w:rPr>
          <w:rFonts w:ascii="Cambria" w:hAnsi="Cambria"/>
          <w:lang w:val="uk-UA"/>
        </w:rPr>
        <w:t>про постачання електричної енергії споживачу (далі - Договір), який є публічним договором приєднання, укладеним згідно статей 633, 634, 641, 642 Цивільного кодексу України, шляхом приєднання Споживача до його умов.</w:t>
      </w:r>
      <w:r w:rsidR="00241FA8" w:rsidRPr="00853DCF">
        <w:rPr>
          <w:rFonts w:ascii="Cambria" w:hAnsi="Cambria"/>
          <w:lang w:val="uk-UA"/>
        </w:rPr>
        <w:t xml:space="preserve"> Комерційна пропозиція не розповсюджується на населення та прирівняних до нього споживачів. </w:t>
      </w:r>
    </w:p>
    <w:p w14:paraId="407A4A49" w14:textId="77777777" w:rsidR="004C0F76" w:rsidRPr="00853DCF" w:rsidRDefault="004C0F76" w:rsidP="004C0F76">
      <w:pPr>
        <w:spacing w:after="120" w:line="240" w:lineRule="auto"/>
        <w:jc w:val="both"/>
        <w:rPr>
          <w:rFonts w:ascii="Cambria" w:hAnsi="Cambria"/>
          <w:b/>
          <w:lang w:val="uk-UA"/>
        </w:rPr>
      </w:pPr>
      <w:r w:rsidRPr="00853DCF">
        <w:rPr>
          <w:rFonts w:ascii="Cambria" w:hAnsi="Cambria"/>
          <w:lang w:val="uk-UA"/>
        </w:rPr>
        <w:tab/>
      </w:r>
      <w:r w:rsidRPr="00853DCF">
        <w:rPr>
          <w:rFonts w:ascii="Cambria" w:hAnsi="Cambria"/>
          <w:b/>
          <w:lang w:val="uk-UA"/>
        </w:rPr>
        <w:t>2. Ціна комерційної пропозиції</w:t>
      </w:r>
    </w:p>
    <w:p w14:paraId="4527BCF9" w14:textId="77777777" w:rsidR="008706D9" w:rsidRPr="00853DCF" w:rsidRDefault="00596841" w:rsidP="008706D9">
      <w:pPr>
        <w:spacing w:after="120" w:line="240" w:lineRule="auto"/>
        <w:ind w:firstLine="709"/>
        <w:jc w:val="both"/>
        <w:rPr>
          <w:rFonts w:ascii="Cambria" w:hAnsi="Cambria"/>
          <w:lang w:val="uk-UA"/>
        </w:rPr>
      </w:pPr>
      <w:r w:rsidRPr="00853DCF">
        <w:rPr>
          <w:rFonts w:asciiTheme="majorHAnsi" w:hAnsiTheme="majorHAnsi"/>
          <w:lang w:val="uk-UA"/>
        </w:rPr>
        <w:t>2.1. Ціна на електроенергію, спожиту Споживачем у відповідному розрахунковому місяці</w:t>
      </w:r>
      <w:bookmarkStart w:id="0" w:name="_Hlk185256326"/>
      <w:r w:rsidR="00244FD2">
        <w:rPr>
          <w:rFonts w:asciiTheme="majorHAnsi" w:hAnsiTheme="majorHAnsi"/>
          <w:lang w:val="uk-UA"/>
        </w:rPr>
        <w:t>:</w:t>
      </w:r>
      <w:r w:rsidRPr="00853DCF">
        <w:rPr>
          <w:rFonts w:asciiTheme="majorHAnsi" w:hAnsiTheme="majorHAnsi"/>
          <w:lang w:val="uk-UA"/>
        </w:rPr>
        <w:t xml:space="preserve"> </w:t>
      </w:r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06"/>
        <w:gridCol w:w="6606"/>
      </w:tblGrid>
      <w:tr w:rsidR="008706D9" w:rsidRPr="00853DCF" w14:paraId="228136BD" w14:textId="77777777" w:rsidTr="00A6656E">
        <w:tc>
          <w:tcPr>
            <w:tcW w:w="3369" w:type="dxa"/>
            <w:vAlign w:val="center"/>
          </w:tcPr>
          <w:p w14:paraId="20897E64" w14:textId="03902303" w:rsidR="008706D9" w:rsidRPr="00853DCF" w:rsidRDefault="008706D9" w:rsidP="00A6656E">
            <w:pPr>
              <w:spacing w:after="120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Ціна на електричну енергію, грн/</w:t>
            </w:r>
            <w:proofErr w:type="spellStart"/>
            <w:r>
              <w:rPr>
                <w:rFonts w:ascii="Cambria" w:hAnsi="Cambria"/>
                <w:lang w:val="uk-UA"/>
              </w:rPr>
              <w:t>кВт.год</w:t>
            </w:r>
            <w:proofErr w:type="spellEnd"/>
            <w:r w:rsidR="00067E85">
              <w:rPr>
                <w:rFonts w:ascii="Cambria" w:hAnsi="Cambria"/>
                <w:lang w:val="uk-UA"/>
              </w:rPr>
              <w:t xml:space="preserve"> (без ПДВ)</w:t>
            </w:r>
          </w:p>
        </w:tc>
        <w:tc>
          <w:tcPr>
            <w:tcW w:w="6769" w:type="dxa"/>
            <w:vAlign w:val="center"/>
          </w:tcPr>
          <w:p w14:paraId="55C28550" w14:textId="77777777" w:rsidR="008706D9" w:rsidRPr="00853DCF" w:rsidRDefault="008706D9" w:rsidP="00A6656E">
            <w:pPr>
              <w:spacing w:after="120"/>
              <w:jc w:val="center"/>
              <w:rPr>
                <w:rFonts w:ascii="Cambria" w:hAnsi="Cambria"/>
                <w:lang w:val="uk-UA"/>
              </w:rPr>
            </w:pPr>
            <w:r w:rsidRPr="00853DCF">
              <w:rPr>
                <w:rFonts w:ascii="Cambria" w:hAnsi="Cambria"/>
                <w:lang w:val="uk-UA"/>
              </w:rPr>
              <w:t xml:space="preserve">Обсяг фактичного споживання електричної енергії Споживачем за відповідний розрахунковий місяць </w:t>
            </w:r>
          </w:p>
        </w:tc>
      </w:tr>
      <w:tr w:rsidR="008706D9" w:rsidRPr="00853DCF" w14:paraId="2E4A8343" w14:textId="77777777" w:rsidTr="00A6656E">
        <w:tc>
          <w:tcPr>
            <w:tcW w:w="3369" w:type="dxa"/>
            <w:vAlign w:val="center"/>
          </w:tcPr>
          <w:p w14:paraId="521DC0FC" w14:textId="6D8E1B3B" w:rsidR="008706D9" w:rsidRPr="00853DCF" w:rsidRDefault="008706D9" w:rsidP="00A6656E">
            <w:pPr>
              <w:spacing w:after="120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7</w:t>
            </w:r>
            <w:r w:rsidR="00365469">
              <w:rPr>
                <w:rFonts w:ascii="Cambria" w:hAnsi="Cambria"/>
                <w:lang w:val="uk-UA"/>
              </w:rPr>
              <w:t>4</w:t>
            </w:r>
            <w:r>
              <w:rPr>
                <w:rFonts w:ascii="Cambria" w:hAnsi="Cambria"/>
                <w:lang w:val="uk-UA"/>
              </w:rPr>
              <w:t>,00</w:t>
            </w:r>
          </w:p>
        </w:tc>
        <w:tc>
          <w:tcPr>
            <w:tcW w:w="6769" w:type="dxa"/>
            <w:vAlign w:val="center"/>
          </w:tcPr>
          <w:p w14:paraId="5A815298" w14:textId="77777777" w:rsidR="008706D9" w:rsidRPr="00853DCF" w:rsidRDefault="008706D9" w:rsidP="00A6656E">
            <w:pPr>
              <w:spacing w:after="120"/>
              <w:jc w:val="center"/>
              <w:rPr>
                <w:rFonts w:ascii="Cambria" w:hAnsi="Cambria"/>
                <w:lang w:val="uk-UA"/>
              </w:rPr>
            </w:pPr>
            <w:r w:rsidRPr="00853DCF">
              <w:rPr>
                <w:rFonts w:ascii="Cambria" w:hAnsi="Cambria"/>
                <w:lang w:val="uk-UA"/>
              </w:rPr>
              <w:t xml:space="preserve">до 50 000 </w:t>
            </w:r>
            <w:proofErr w:type="spellStart"/>
            <w:r w:rsidRPr="00853DCF">
              <w:rPr>
                <w:rFonts w:ascii="Cambria" w:hAnsi="Cambria"/>
                <w:lang w:val="uk-UA"/>
              </w:rPr>
              <w:t>кВт.год</w:t>
            </w:r>
            <w:proofErr w:type="spellEnd"/>
          </w:p>
        </w:tc>
      </w:tr>
      <w:tr w:rsidR="008706D9" w:rsidRPr="00853DCF" w14:paraId="7BEB3C62" w14:textId="77777777" w:rsidTr="00A6656E">
        <w:tc>
          <w:tcPr>
            <w:tcW w:w="3369" w:type="dxa"/>
            <w:vAlign w:val="center"/>
          </w:tcPr>
          <w:p w14:paraId="7B9A6658" w14:textId="5BBBA33F" w:rsidR="008706D9" w:rsidRPr="00853DCF" w:rsidRDefault="008706D9" w:rsidP="00A6656E">
            <w:pPr>
              <w:spacing w:after="120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7</w:t>
            </w:r>
            <w:r w:rsidR="00365469">
              <w:rPr>
                <w:rFonts w:ascii="Cambria" w:hAnsi="Cambria"/>
                <w:lang w:val="uk-UA"/>
              </w:rPr>
              <w:t>3</w:t>
            </w:r>
            <w:r>
              <w:rPr>
                <w:rFonts w:ascii="Cambria" w:hAnsi="Cambria"/>
                <w:lang w:val="uk-UA"/>
              </w:rPr>
              <w:t>,50</w:t>
            </w:r>
          </w:p>
        </w:tc>
        <w:tc>
          <w:tcPr>
            <w:tcW w:w="6769" w:type="dxa"/>
            <w:vAlign w:val="center"/>
          </w:tcPr>
          <w:p w14:paraId="6D554955" w14:textId="77777777" w:rsidR="008706D9" w:rsidRPr="00853DCF" w:rsidRDefault="008706D9" w:rsidP="00A6656E">
            <w:pPr>
              <w:spacing w:after="120"/>
              <w:jc w:val="center"/>
              <w:rPr>
                <w:rFonts w:ascii="Cambria" w:hAnsi="Cambria"/>
                <w:lang w:val="uk-UA"/>
              </w:rPr>
            </w:pPr>
            <w:r w:rsidRPr="00853DCF">
              <w:rPr>
                <w:rFonts w:ascii="Cambria" w:hAnsi="Cambria"/>
                <w:lang w:val="uk-UA"/>
              </w:rPr>
              <w:t xml:space="preserve">від 50 001 </w:t>
            </w:r>
            <w:proofErr w:type="spellStart"/>
            <w:r w:rsidRPr="00853DCF">
              <w:rPr>
                <w:rFonts w:ascii="Cambria" w:hAnsi="Cambria"/>
                <w:lang w:val="uk-UA"/>
              </w:rPr>
              <w:t>кВт.год</w:t>
            </w:r>
            <w:proofErr w:type="spellEnd"/>
            <w:r w:rsidRPr="00853DCF">
              <w:rPr>
                <w:rFonts w:ascii="Cambria" w:hAnsi="Cambria"/>
                <w:lang w:val="uk-UA"/>
              </w:rPr>
              <w:t xml:space="preserve"> до 100 000 </w:t>
            </w:r>
            <w:proofErr w:type="spellStart"/>
            <w:r w:rsidRPr="00853DCF">
              <w:rPr>
                <w:rFonts w:ascii="Cambria" w:hAnsi="Cambria"/>
                <w:lang w:val="uk-UA"/>
              </w:rPr>
              <w:t>кВт.год</w:t>
            </w:r>
            <w:proofErr w:type="spellEnd"/>
          </w:p>
        </w:tc>
      </w:tr>
      <w:tr w:rsidR="008706D9" w:rsidRPr="00853DCF" w14:paraId="7456685C" w14:textId="77777777" w:rsidTr="00A6656E">
        <w:tc>
          <w:tcPr>
            <w:tcW w:w="3369" w:type="dxa"/>
            <w:vAlign w:val="center"/>
          </w:tcPr>
          <w:p w14:paraId="0A787B35" w14:textId="77777777" w:rsidR="008706D9" w:rsidRPr="00853DCF" w:rsidRDefault="008706D9" w:rsidP="00A6656E">
            <w:pPr>
              <w:spacing w:after="120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73,00</w:t>
            </w:r>
          </w:p>
        </w:tc>
        <w:tc>
          <w:tcPr>
            <w:tcW w:w="6769" w:type="dxa"/>
            <w:vAlign w:val="center"/>
          </w:tcPr>
          <w:p w14:paraId="4B1B609E" w14:textId="77777777" w:rsidR="008706D9" w:rsidRPr="00853DCF" w:rsidRDefault="008706D9" w:rsidP="00A6656E">
            <w:pPr>
              <w:spacing w:after="120"/>
              <w:jc w:val="center"/>
              <w:rPr>
                <w:rFonts w:ascii="Cambria" w:hAnsi="Cambria"/>
                <w:lang w:val="uk-UA"/>
              </w:rPr>
            </w:pPr>
            <w:r w:rsidRPr="00853DCF">
              <w:rPr>
                <w:rFonts w:ascii="Cambria" w:hAnsi="Cambria"/>
                <w:lang w:val="uk-UA"/>
              </w:rPr>
              <w:t xml:space="preserve">від 100 001 </w:t>
            </w:r>
            <w:proofErr w:type="spellStart"/>
            <w:r w:rsidRPr="00853DCF">
              <w:rPr>
                <w:rFonts w:ascii="Cambria" w:hAnsi="Cambria"/>
                <w:lang w:val="uk-UA"/>
              </w:rPr>
              <w:t>кВт.год</w:t>
            </w:r>
            <w:proofErr w:type="spellEnd"/>
            <w:r w:rsidRPr="00853DCF">
              <w:rPr>
                <w:rFonts w:ascii="Cambria" w:hAnsi="Cambria"/>
                <w:lang w:val="uk-UA"/>
              </w:rPr>
              <w:t xml:space="preserve"> до 500 000 </w:t>
            </w:r>
            <w:proofErr w:type="spellStart"/>
            <w:r w:rsidRPr="00853DCF">
              <w:rPr>
                <w:rFonts w:ascii="Cambria" w:hAnsi="Cambria"/>
                <w:lang w:val="uk-UA"/>
              </w:rPr>
              <w:t>кВт.год</w:t>
            </w:r>
            <w:proofErr w:type="spellEnd"/>
          </w:p>
        </w:tc>
      </w:tr>
      <w:tr w:rsidR="008706D9" w:rsidRPr="00853DCF" w14:paraId="41477AB4" w14:textId="77777777" w:rsidTr="00A6656E">
        <w:tc>
          <w:tcPr>
            <w:tcW w:w="3369" w:type="dxa"/>
            <w:vAlign w:val="center"/>
          </w:tcPr>
          <w:p w14:paraId="31EE7EE5" w14:textId="77777777" w:rsidR="008706D9" w:rsidRPr="00853DCF" w:rsidRDefault="008706D9" w:rsidP="00A6656E">
            <w:pPr>
              <w:spacing w:after="120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72,50</w:t>
            </w:r>
          </w:p>
        </w:tc>
        <w:tc>
          <w:tcPr>
            <w:tcW w:w="6769" w:type="dxa"/>
            <w:vAlign w:val="center"/>
          </w:tcPr>
          <w:p w14:paraId="2586D935" w14:textId="77777777" w:rsidR="008706D9" w:rsidRPr="00853DCF" w:rsidRDefault="008706D9" w:rsidP="00A6656E">
            <w:pPr>
              <w:spacing w:after="120"/>
              <w:jc w:val="center"/>
              <w:rPr>
                <w:rFonts w:ascii="Cambria" w:hAnsi="Cambria"/>
                <w:lang w:val="uk-UA"/>
              </w:rPr>
            </w:pPr>
            <w:r w:rsidRPr="00853DCF">
              <w:rPr>
                <w:rFonts w:ascii="Cambria" w:hAnsi="Cambria"/>
                <w:lang w:val="uk-UA"/>
              </w:rPr>
              <w:t xml:space="preserve">від 500 001 </w:t>
            </w:r>
            <w:proofErr w:type="spellStart"/>
            <w:r w:rsidRPr="00853DCF">
              <w:rPr>
                <w:rFonts w:ascii="Cambria" w:hAnsi="Cambria"/>
                <w:lang w:val="uk-UA"/>
              </w:rPr>
              <w:t>кВт.год</w:t>
            </w:r>
            <w:proofErr w:type="spellEnd"/>
            <w:r w:rsidRPr="00853DCF">
              <w:rPr>
                <w:rFonts w:ascii="Cambria" w:hAnsi="Cambria"/>
                <w:lang w:val="uk-UA"/>
              </w:rPr>
              <w:t xml:space="preserve"> до 1 000 000 </w:t>
            </w:r>
            <w:proofErr w:type="spellStart"/>
            <w:r w:rsidRPr="00853DCF">
              <w:rPr>
                <w:rFonts w:ascii="Cambria" w:hAnsi="Cambria"/>
                <w:lang w:val="uk-UA"/>
              </w:rPr>
              <w:t>кВт.год</w:t>
            </w:r>
            <w:proofErr w:type="spellEnd"/>
          </w:p>
        </w:tc>
      </w:tr>
      <w:tr w:rsidR="008706D9" w:rsidRPr="00853DCF" w14:paraId="37ADC70A" w14:textId="77777777" w:rsidTr="00A6656E">
        <w:tc>
          <w:tcPr>
            <w:tcW w:w="3369" w:type="dxa"/>
            <w:vAlign w:val="center"/>
          </w:tcPr>
          <w:p w14:paraId="6E3B2AEC" w14:textId="77777777" w:rsidR="008706D9" w:rsidRPr="00853DCF" w:rsidRDefault="008706D9" w:rsidP="00A6656E">
            <w:pPr>
              <w:spacing w:after="120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72,00</w:t>
            </w:r>
          </w:p>
        </w:tc>
        <w:tc>
          <w:tcPr>
            <w:tcW w:w="6769" w:type="dxa"/>
            <w:vAlign w:val="center"/>
          </w:tcPr>
          <w:p w14:paraId="6EEA9046" w14:textId="77777777" w:rsidR="008706D9" w:rsidRPr="00853DCF" w:rsidRDefault="008706D9" w:rsidP="00A6656E">
            <w:pPr>
              <w:spacing w:after="120"/>
              <w:jc w:val="center"/>
              <w:rPr>
                <w:rFonts w:ascii="Cambria" w:hAnsi="Cambria"/>
                <w:lang w:val="uk-UA"/>
              </w:rPr>
            </w:pPr>
            <w:r w:rsidRPr="00853DCF">
              <w:rPr>
                <w:rFonts w:ascii="Cambria" w:hAnsi="Cambria"/>
                <w:lang w:val="uk-UA"/>
              </w:rPr>
              <w:t xml:space="preserve">від 1 000 001 </w:t>
            </w:r>
            <w:proofErr w:type="spellStart"/>
            <w:r w:rsidRPr="00853DCF">
              <w:rPr>
                <w:rFonts w:ascii="Cambria" w:hAnsi="Cambria"/>
                <w:lang w:val="uk-UA"/>
              </w:rPr>
              <w:t>кВт.год</w:t>
            </w:r>
            <w:proofErr w:type="spellEnd"/>
            <w:r w:rsidRPr="00853DCF">
              <w:rPr>
                <w:rFonts w:ascii="Cambria" w:hAnsi="Cambria"/>
                <w:lang w:val="uk-UA"/>
              </w:rPr>
              <w:t xml:space="preserve"> до 3 000 000 </w:t>
            </w:r>
            <w:proofErr w:type="spellStart"/>
            <w:r w:rsidRPr="00853DCF">
              <w:rPr>
                <w:rFonts w:ascii="Cambria" w:hAnsi="Cambria"/>
                <w:lang w:val="uk-UA"/>
              </w:rPr>
              <w:t>кВт.год</w:t>
            </w:r>
            <w:proofErr w:type="spellEnd"/>
          </w:p>
        </w:tc>
      </w:tr>
      <w:tr w:rsidR="008706D9" w:rsidRPr="00853DCF" w14:paraId="15C9A7D0" w14:textId="77777777" w:rsidTr="00A6656E">
        <w:tc>
          <w:tcPr>
            <w:tcW w:w="3369" w:type="dxa"/>
            <w:vAlign w:val="center"/>
          </w:tcPr>
          <w:p w14:paraId="20B99CFB" w14:textId="77777777" w:rsidR="008706D9" w:rsidRPr="00853DCF" w:rsidRDefault="008706D9" w:rsidP="00A6656E">
            <w:pPr>
              <w:spacing w:after="120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71,50</w:t>
            </w:r>
          </w:p>
        </w:tc>
        <w:tc>
          <w:tcPr>
            <w:tcW w:w="6769" w:type="dxa"/>
            <w:vAlign w:val="center"/>
          </w:tcPr>
          <w:p w14:paraId="0BC81491" w14:textId="77777777" w:rsidR="008706D9" w:rsidRPr="00853DCF" w:rsidRDefault="008706D9" w:rsidP="00A6656E">
            <w:pPr>
              <w:spacing w:after="120"/>
              <w:jc w:val="center"/>
              <w:rPr>
                <w:rFonts w:ascii="Cambria" w:hAnsi="Cambria"/>
                <w:lang w:val="uk-UA"/>
              </w:rPr>
            </w:pPr>
            <w:r w:rsidRPr="00853DCF">
              <w:rPr>
                <w:rFonts w:ascii="Cambria" w:hAnsi="Cambria"/>
                <w:lang w:val="uk-UA"/>
              </w:rPr>
              <w:t xml:space="preserve">від 3 000 001 </w:t>
            </w:r>
            <w:proofErr w:type="spellStart"/>
            <w:r w:rsidRPr="00853DCF">
              <w:rPr>
                <w:rFonts w:ascii="Cambria" w:hAnsi="Cambria"/>
                <w:lang w:val="uk-UA"/>
              </w:rPr>
              <w:t>кВт.год</w:t>
            </w:r>
            <w:proofErr w:type="spellEnd"/>
            <w:r w:rsidRPr="00853DCF">
              <w:rPr>
                <w:rFonts w:ascii="Cambria" w:hAnsi="Cambria"/>
                <w:lang w:val="uk-UA"/>
              </w:rPr>
              <w:t xml:space="preserve"> до 12 000 000 </w:t>
            </w:r>
            <w:proofErr w:type="spellStart"/>
            <w:r w:rsidRPr="00853DCF">
              <w:rPr>
                <w:rFonts w:ascii="Cambria" w:hAnsi="Cambria"/>
                <w:lang w:val="uk-UA"/>
              </w:rPr>
              <w:t>кВт.год</w:t>
            </w:r>
            <w:proofErr w:type="spellEnd"/>
          </w:p>
        </w:tc>
      </w:tr>
      <w:tr w:rsidR="008706D9" w:rsidRPr="00853DCF" w14:paraId="394DF275" w14:textId="77777777" w:rsidTr="00A6656E">
        <w:tc>
          <w:tcPr>
            <w:tcW w:w="3369" w:type="dxa"/>
            <w:vAlign w:val="center"/>
          </w:tcPr>
          <w:p w14:paraId="7437A5AF" w14:textId="77777777" w:rsidR="008706D9" w:rsidRPr="00853DCF" w:rsidRDefault="008706D9" w:rsidP="00A6656E">
            <w:pPr>
              <w:spacing w:after="120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71,00</w:t>
            </w:r>
          </w:p>
        </w:tc>
        <w:tc>
          <w:tcPr>
            <w:tcW w:w="6769" w:type="dxa"/>
            <w:vAlign w:val="center"/>
          </w:tcPr>
          <w:p w14:paraId="15DC2396" w14:textId="77777777" w:rsidR="008706D9" w:rsidRPr="00853DCF" w:rsidRDefault="008706D9" w:rsidP="00A6656E">
            <w:pPr>
              <w:spacing w:after="120"/>
              <w:jc w:val="center"/>
              <w:rPr>
                <w:rFonts w:ascii="Cambria" w:hAnsi="Cambria"/>
                <w:lang w:val="uk-UA"/>
              </w:rPr>
            </w:pPr>
            <w:r w:rsidRPr="00853DCF">
              <w:rPr>
                <w:rFonts w:ascii="Cambria" w:hAnsi="Cambria"/>
                <w:lang w:val="uk-UA"/>
              </w:rPr>
              <w:t xml:space="preserve">12 000 001 </w:t>
            </w:r>
            <w:proofErr w:type="spellStart"/>
            <w:r w:rsidRPr="00853DCF">
              <w:rPr>
                <w:rFonts w:ascii="Cambria" w:hAnsi="Cambria"/>
                <w:lang w:val="uk-UA"/>
              </w:rPr>
              <w:t>кВт.год</w:t>
            </w:r>
            <w:proofErr w:type="spellEnd"/>
            <w:r w:rsidRPr="00853DCF">
              <w:rPr>
                <w:rFonts w:ascii="Cambria" w:hAnsi="Cambria"/>
                <w:lang w:val="uk-UA"/>
              </w:rPr>
              <w:t xml:space="preserve"> та більше</w:t>
            </w:r>
          </w:p>
        </w:tc>
      </w:tr>
    </w:tbl>
    <w:p w14:paraId="7E5B387C" w14:textId="77777777" w:rsidR="008706D9" w:rsidRDefault="008706D9" w:rsidP="008706D9">
      <w:pPr>
        <w:spacing w:after="120" w:line="240" w:lineRule="auto"/>
        <w:ind w:firstLine="708"/>
        <w:jc w:val="both"/>
        <w:rPr>
          <w:rFonts w:ascii="Cambria" w:hAnsi="Cambria"/>
          <w:lang w:val="uk-UA"/>
        </w:rPr>
      </w:pPr>
    </w:p>
    <w:p w14:paraId="63E20F00" w14:textId="0C92DFEA" w:rsidR="00B247C0" w:rsidRPr="00853DCF" w:rsidRDefault="004C0F76" w:rsidP="008706D9">
      <w:pPr>
        <w:spacing w:after="120" w:line="240" w:lineRule="auto"/>
        <w:ind w:firstLine="709"/>
        <w:jc w:val="both"/>
        <w:rPr>
          <w:rFonts w:ascii="Cambria" w:hAnsi="Cambria"/>
          <w:b/>
          <w:lang w:val="uk-UA"/>
        </w:rPr>
      </w:pPr>
      <w:r w:rsidRPr="00853DCF">
        <w:rPr>
          <w:rFonts w:ascii="Cambria" w:hAnsi="Cambria"/>
          <w:b/>
          <w:lang w:val="uk-UA"/>
        </w:rPr>
        <w:t>3.</w:t>
      </w:r>
      <w:r w:rsidR="00B247C0" w:rsidRPr="00853DCF">
        <w:rPr>
          <w:rFonts w:ascii="Cambria" w:hAnsi="Cambria"/>
          <w:b/>
          <w:lang w:val="uk-UA"/>
        </w:rPr>
        <w:t xml:space="preserve"> Порядок оплати</w:t>
      </w:r>
      <w:r w:rsidRPr="00853DCF">
        <w:rPr>
          <w:rFonts w:ascii="Cambria" w:hAnsi="Cambria"/>
          <w:b/>
          <w:lang w:val="uk-UA"/>
        </w:rPr>
        <w:t xml:space="preserve"> </w:t>
      </w:r>
    </w:p>
    <w:p w14:paraId="72665E4B" w14:textId="77777777" w:rsidR="00B95010" w:rsidRPr="00FC04E1" w:rsidRDefault="00B247C0" w:rsidP="00B95010">
      <w:pPr>
        <w:spacing w:after="120" w:line="240" w:lineRule="auto"/>
        <w:ind w:firstLine="708"/>
        <w:jc w:val="both"/>
        <w:rPr>
          <w:rFonts w:ascii="Cambria" w:hAnsi="Cambria"/>
          <w:lang w:val="uk-UA"/>
        </w:rPr>
      </w:pPr>
      <w:r w:rsidRPr="00853DCF">
        <w:rPr>
          <w:rFonts w:ascii="Cambria" w:hAnsi="Cambria"/>
          <w:lang w:val="uk-UA"/>
        </w:rPr>
        <w:t xml:space="preserve">3.1. </w:t>
      </w:r>
      <w:r w:rsidR="004C0F76" w:rsidRPr="00853DCF">
        <w:rPr>
          <w:rFonts w:ascii="Cambria" w:hAnsi="Cambria"/>
          <w:lang w:val="uk-UA"/>
        </w:rPr>
        <w:t xml:space="preserve">Оплата за електричну енергію здійснюється Споживачем </w:t>
      </w:r>
      <w:proofErr w:type="spellStart"/>
      <w:r w:rsidR="004C0F76" w:rsidRPr="00853DCF">
        <w:rPr>
          <w:rFonts w:ascii="Cambria" w:hAnsi="Cambria"/>
          <w:lang w:val="uk-UA"/>
        </w:rPr>
        <w:t>ініціативно</w:t>
      </w:r>
      <w:proofErr w:type="spellEnd"/>
      <w:r w:rsidR="004C0F76" w:rsidRPr="00853DCF">
        <w:rPr>
          <w:rFonts w:ascii="Cambria" w:hAnsi="Cambria"/>
          <w:lang w:val="uk-UA"/>
        </w:rPr>
        <w:t xml:space="preserve"> або на підставі рахунків, виставлених Постачальником, шляхом перерахування грошових коштів на рахунок Постачальника у такі терміни: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7"/>
        <w:gridCol w:w="5146"/>
      </w:tblGrid>
      <w:tr w:rsidR="00B95010" w:rsidRPr="00FC04E1" w14:paraId="67E192EA" w14:textId="77777777" w:rsidTr="000B00A7">
        <w:tc>
          <w:tcPr>
            <w:tcW w:w="4777" w:type="dxa"/>
          </w:tcPr>
          <w:p w14:paraId="5C3C67A5" w14:textId="77777777" w:rsidR="00B95010" w:rsidRPr="00FC04E1" w:rsidRDefault="00B95010" w:rsidP="000B00A7">
            <w:pPr>
              <w:spacing w:after="120" w:line="240" w:lineRule="auto"/>
              <w:jc w:val="both"/>
              <w:rPr>
                <w:rFonts w:asciiTheme="majorHAnsi" w:hAnsiTheme="majorHAnsi"/>
                <w:lang w:val="uk-UA"/>
              </w:rPr>
            </w:pPr>
            <w:r w:rsidRPr="00FC04E1">
              <w:rPr>
                <w:rFonts w:asciiTheme="majorHAnsi" w:hAnsiTheme="majorHAnsi"/>
                <w:lang w:val="uk-UA"/>
              </w:rPr>
              <w:t>до 25-го числа місяця, що передує розрахунковому</w:t>
            </w:r>
          </w:p>
        </w:tc>
        <w:tc>
          <w:tcPr>
            <w:tcW w:w="5146" w:type="dxa"/>
          </w:tcPr>
          <w:p w14:paraId="1460FD49" w14:textId="77777777" w:rsidR="00B95010" w:rsidRPr="00FC04E1" w:rsidRDefault="00B95010" w:rsidP="000B00A7">
            <w:pPr>
              <w:spacing w:after="120" w:line="240" w:lineRule="auto"/>
              <w:jc w:val="both"/>
              <w:rPr>
                <w:rFonts w:asciiTheme="majorHAnsi" w:hAnsiTheme="majorHAnsi"/>
                <w:lang w:val="uk-UA"/>
              </w:rPr>
            </w:pPr>
            <w:r w:rsidRPr="00FC04E1">
              <w:rPr>
                <w:rFonts w:asciiTheme="majorHAnsi" w:hAnsiTheme="majorHAnsi"/>
                <w:lang w:val="uk-UA"/>
              </w:rPr>
              <w:t>– 30%  вартості договірної величини споживання електроенергії;</w:t>
            </w:r>
          </w:p>
        </w:tc>
      </w:tr>
      <w:tr w:rsidR="00B95010" w:rsidRPr="00FC04E1" w14:paraId="4275F499" w14:textId="77777777" w:rsidTr="000B00A7">
        <w:tc>
          <w:tcPr>
            <w:tcW w:w="4777" w:type="dxa"/>
          </w:tcPr>
          <w:p w14:paraId="53CDFA17" w14:textId="77777777" w:rsidR="00B95010" w:rsidRPr="00FC04E1" w:rsidRDefault="00B95010" w:rsidP="000B00A7">
            <w:pPr>
              <w:spacing w:after="120" w:line="240" w:lineRule="auto"/>
              <w:jc w:val="both"/>
              <w:rPr>
                <w:rFonts w:asciiTheme="majorHAnsi" w:hAnsiTheme="majorHAnsi"/>
                <w:lang w:val="uk-UA"/>
              </w:rPr>
            </w:pPr>
            <w:r w:rsidRPr="00FC04E1">
              <w:rPr>
                <w:rFonts w:asciiTheme="majorHAnsi" w:hAnsiTheme="majorHAnsi"/>
                <w:lang w:val="uk-UA"/>
              </w:rPr>
              <w:t xml:space="preserve">до 1-го числа розрахункового місяця </w:t>
            </w:r>
          </w:p>
        </w:tc>
        <w:tc>
          <w:tcPr>
            <w:tcW w:w="5146" w:type="dxa"/>
          </w:tcPr>
          <w:p w14:paraId="20003174" w14:textId="77777777" w:rsidR="00B95010" w:rsidRPr="00FC04E1" w:rsidRDefault="00B95010" w:rsidP="000B00A7">
            <w:pPr>
              <w:spacing w:after="120" w:line="240" w:lineRule="auto"/>
              <w:jc w:val="both"/>
              <w:rPr>
                <w:rFonts w:asciiTheme="majorHAnsi" w:hAnsiTheme="majorHAnsi"/>
                <w:lang w:val="uk-UA"/>
              </w:rPr>
            </w:pPr>
            <w:r w:rsidRPr="00FC04E1">
              <w:rPr>
                <w:rFonts w:asciiTheme="majorHAnsi" w:hAnsiTheme="majorHAnsi"/>
                <w:lang w:val="uk-UA"/>
              </w:rPr>
              <w:t>– 17%  вартості договірної величини споживання електроенергії;</w:t>
            </w:r>
          </w:p>
        </w:tc>
      </w:tr>
      <w:tr w:rsidR="00B95010" w:rsidRPr="00FC04E1" w14:paraId="034B495B" w14:textId="77777777" w:rsidTr="000B00A7">
        <w:tc>
          <w:tcPr>
            <w:tcW w:w="4777" w:type="dxa"/>
          </w:tcPr>
          <w:p w14:paraId="42357A08" w14:textId="77777777" w:rsidR="00B95010" w:rsidRPr="00FC04E1" w:rsidRDefault="00B95010" w:rsidP="000B00A7">
            <w:pPr>
              <w:spacing w:after="120" w:line="240" w:lineRule="auto"/>
              <w:jc w:val="both"/>
              <w:rPr>
                <w:rFonts w:asciiTheme="majorHAnsi" w:hAnsiTheme="majorHAnsi"/>
                <w:lang w:val="uk-UA"/>
              </w:rPr>
            </w:pPr>
            <w:r w:rsidRPr="00FC04E1">
              <w:rPr>
                <w:rFonts w:asciiTheme="majorHAnsi" w:hAnsiTheme="majorHAnsi"/>
                <w:lang w:val="uk-UA"/>
              </w:rPr>
              <w:t xml:space="preserve">до 10-го числа розрахункового місяця </w:t>
            </w:r>
          </w:p>
        </w:tc>
        <w:tc>
          <w:tcPr>
            <w:tcW w:w="5146" w:type="dxa"/>
          </w:tcPr>
          <w:p w14:paraId="189766B1" w14:textId="77777777" w:rsidR="00B95010" w:rsidRPr="00FC04E1" w:rsidRDefault="00B95010" w:rsidP="000B00A7">
            <w:pPr>
              <w:spacing w:after="120" w:line="240" w:lineRule="auto"/>
              <w:jc w:val="both"/>
              <w:rPr>
                <w:rFonts w:asciiTheme="majorHAnsi" w:hAnsiTheme="majorHAnsi"/>
                <w:lang w:val="uk-UA"/>
              </w:rPr>
            </w:pPr>
            <w:r w:rsidRPr="00FC04E1">
              <w:rPr>
                <w:rFonts w:asciiTheme="majorHAnsi" w:hAnsiTheme="majorHAnsi"/>
                <w:lang w:val="uk-UA"/>
              </w:rPr>
              <w:t>– 17%  вартості договірної величини споживання електроенергії;</w:t>
            </w:r>
          </w:p>
        </w:tc>
      </w:tr>
      <w:tr w:rsidR="00B95010" w:rsidRPr="00FC04E1" w14:paraId="7900C5D2" w14:textId="77777777" w:rsidTr="000B00A7">
        <w:tc>
          <w:tcPr>
            <w:tcW w:w="4777" w:type="dxa"/>
          </w:tcPr>
          <w:p w14:paraId="7A49CC3F" w14:textId="77777777" w:rsidR="00B95010" w:rsidRPr="00FC04E1" w:rsidRDefault="00B95010" w:rsidP="000B00A7">
            <w:pPr>
              <w:spacing w:after="120" w:line="240" w:lineRule="auto"/>
              <w:jc w:val="both"/>
              <w:rPr>
                <w:rFonts w:asciiTheme="majorHAnsi" w:hAnsiTheme="majorHAnsi"/>
                <w:lang w:val="uk-UA"/>
              </w:rPr>
            </w:pPr>
            <w:r w:rsidRPr="00FC04E1">
              <w:rPr>
                <w:rFonts w:asciiTheme="majorHAnsi" w:hAnsiTheme="majorHAnsi"/>
                <w:lang w:val="uk-UA"/>
              </w:rPr>
              <w:t xml:space="preserve">до 15-го числа розрахункового місяця </w:t>
            </w:r>
          </w:p>
        </w:tc>
        <w:tc>
          <w:tcPr>
            <w:tcW w:w="5146" w:type="dxa"/>
          </w:tcPr>
          <w:p w14:paraId="7C2D82D3" w14:textId="77777777" w:rsidR="00B95010" w:rsidRPr="00FC04E1" w:rsidRDefault="00B95010" w:rsidP="000B00A7">
            <w:pPr>
              <w:spacing w:after="120" w:line="240" w:lineRule="auto"/>
              <w:jc w:val="both"/>
              <w:rPr>
                <w:rFonts w:asciiTheme="majorHAnsi" w:hAnsiTheme="majorHAnsi"/>
                <w:lang w:val="uk-UA"/>
              </w:rPr>
            </w:pPr>
            <w:r w:rsidRPr="00FC04E1">
              <w:rPr>
                <w:rFonts w:asciiTheme="majorHAnsi" w:hAnsiTheme="majorHAnsi"/>
                <w:lang w:val="uk-UA"/>
              </w:rPr>
              <w:t>– 17%  вартості договірної величини споживання електроенергії;</w:t>
            </w:r>
          </w:p>
        </w:tc>
      </w:tr>
      <w:tr w:rsidR="00B95010" w:rsidRPr="00FC04E1" w14:paraId="05AF4624" w14:textId="77777777" w:rsidTr="000B00A7">
        <w:tc>
          <w:tcPr>
            <w:tcW w:w="4777" w:type="dxa"/>
          </w:tcPr>
          <w:p w14:paraId="2DB1FC28" w14:textId="77777777" w:rsidR="00B95010" w:rsidRPr="00FC04E1" w:rsidRDefault="00B95010" w:rsidP="000B00A7">
            <w:pPr>
              <w:spacing w:after="120" w:line="240" w:lineRule="auto"/>
              <w:jc w:val="both"/>
              <w:rPr>
                <w:rFonts w:asciiTheme="majorHAnsi" w:hAnsiTheme="majorHAnsi"/>
                <w:lang w:val="uk-UA"/>
              </w:rPr>
            </w:pPr>
            <w:r w:rsidRPr="00FC04E1">
              <w:rPr>
                <w:rFonts w:asciiTheme="majorHAnsi" w:hAnsiTheme="majorHAnsi"/>
                <w:lang w:val="uk-UA"/>
              </w:rPr>
              <w:t>до 20-го числа розрахункового місяця</w:t>
            </w:r>
          </w:p>
        </w:tc>
        <w:tc>
          <w:tcPr>
            <w:tcW w:w="5146" w:type="dxa"/>
          </w:tcPr>
          <w:p w14:paraId="20234F8B" w14:textId="77777777" w:rsidR="00B95010" w:rsidRPr="00FC04E1" w:rsidRDefault="00B95010" w:rsidP="00B95010">
            <w:pPr>
              <w:spacing w:after="120" w:line="240" w:lineRule="auto"/>
              <w:jc w:val="both"/>
              <w:rPr>
                <w:rFonts w:asciiTheme="majorHAnsi" w:hAnsiTheme="majorHAnsi"/>
                <w:lang w:val="uk-UA"/>
              </w:rPr>
            </w:pPr>
            <w:r w:rsidRPr="00FC04E1">
              <w:rPr>
                <w:rFonts w:asciiTheme="majorHAnsi" w:hAnsiTheme="majorHAnsi"/>
                <w:lang w:val="uk-UA"/>
              </w:rPr>
              <w:t>– 17%  вартості договірної величини споживання електроенергії.</w:t>
            </w:r>
          </w:p>
        </w:tc>
      </w:tr>
    </w:tbl>
    <w:p w14:paraId="36B65116" w14:textId="77777777" w:rsidR="004C0F76" w:rsidRPr="00853DCF" w:rsidRDefault="004C0F76" w:rsidP="004C0F76">
      <w:pPr>
        <w:spacing w:after="120" w:line="240" w:lineRule="auto"/>
        <w:ind w:firstLine="708"/>
        <w:jc w:val="both"/>
        <w:rPr>
          <w:rFonts w:ascii="Cambria" w:hAnsi="Cambria"/>
          <w:lang w:val="uk-UA"/>
        </w:rPr>
      </w:pPr>
      <w:r w:rsidRPr="00853DCF">
        <w:rPr>
          <w:rFonts w:ascii="Cambria" w:hAnsi="Cambria"/>
          <w:lang w:val="uk-UA"/>
        </w:rPr>
        <w:t>Оплата за електричну енергію здійснюється Споживачем з урахуванням податку на додану вартість</w:t>
      </w:r>
      <w:r w:rsidR="00E06D8E">
        <w:rPr>
          <w:rFonts w:ascii="Cambria" w:hAnsi="Cambria"/>
          <w:lang w:val="uk-UA"/>
        </w:rPr>
        <w:t xml:space="preserve"> на рахунок із спеціальним режимом використання Постачальника, відкритий в уповноваженому банку</w:t>
      </w:r>
      <w:r w:rsidRPr="00853DCF">
        <w:rPr>
          <w:rFonts w:ascii="Cambria" w:hAnsi="Cambria"/>
          <w:lang w:val="uk-UA"/>
        </w:rPr>
        <w:t xml:space="preserve">. </w:t>
      </w:r>
    </w:p>
    <w:p w14:paraId="0B5198AE" w14:textId="77777777" w:rsidR="004C0F76" w:rsidRPr="00853DCF" w:rsidRDefault="004C0F76" w:rsidP="004C0F76">
      <w:pPr>
        <w:spacing w:after="120" w:line="240" w:lineRule="auto"/>
        <w:jc w:val="both"/>
        <w:rPr>
          <w:rFonts w:ascii="Cambria" w:hAnsi="Cambria"/>
          <w:lang w:val="uk-UA"/>
        </w:rPr>
      </w:pPr>
      <w:r w:rsidRPr="00853DCF">
        <w:rPr>
          <w:rFonts w:ascii="Cambria" w:hAnsi="Cambria"/>
          <w:lang w:val="uk-UA"/>
        </w:rPr>
        <w:tab/>
      </w:r>
      <w:r w:rsidR="00D92FF3" w:rsidRPr="00853DCF">
        <w:rPr>
          <w:rFonts w:ascii="Cambria" w:hAnsi="Cambria"/>
          <w:lang w:val="uk-UA"/>
        </w:rPr>
        <w:t>3.2</w:t>
      </w:r>
      <w:r w:rsidRPr="00853DCF">
        <w:rPr>
          <w:rFonts w:ascii="Cambria" w:hAnsi="Cambria"/>
          <w:lang w:val="uk-UA"/>
        </w:rPr>
        <w:t>. Остаточний розрахунок здійснюється на підставі рахунку, який виставляється Споживачу Постачальником на підставі даних про фактичне споживання електричної енергії Споживачем за розрахунковий період та ціни, визначеної в п.2</w:t>
      </w:r>
      <w:r w:rsidR="007D3019" w:rsidRPr="00853DCF">
        <w:rPr>
          <w:rFonts w:ascii="Cambria" w:hAnsi="Cambria"/>
          <w:lang w:val="uk-UA"/>
        </w:rPr>
        <w:t>.1</w:t>
      </w:r>
      <w:r w:rsidRPr="00853DCF">
        <w:rPr>
          <w:rFonts w:ascii="Cambria" w:hAnsi="Cambria"/>
          <w:lang w:val="uk-UA"/>
        </w:rPr>
        <w:t xml:space="preserve"> цієї Комерційної пропозиції.  </w:t>
      </w:r>
    </w:p>
    <w:p w14:paraId="545AFCF6" w14:textId="77777777" w:rsidR="004C0F76" w:rsidRPr="00853DCF" w:rsidRDefault="004C0F76" w:rsidP="004C0F76">
      <w:pPr>
        <w:spacing w:after="120" w:line="240" w:lineRule="auto"/>
        <w:ind w:firstLine="708"/>
        <w:jc w:val="both"/>
        <w:rPr>
          <w:rFonts w:ascii="Cambria" w:hAnsi="Cambria"/>
          <w:lang w:val="uk-UA"/>
        </w:rPr>
      </w:pPr>
      <w:r w:rsidRPr="00853DCF">
        <w:rPr>
          <w:rFonts w:ascii="Cambria" w:hAnsi="Cambria"/>
          <w:lang w:val="uk-UA"/>
        </w:rPr>
        <w:lastRenderedPageBreak/>
        <w:t>Якщо фактична вартість спожитої електроенергії перевищує суму коштів, сплачених Споживачем (за електроенергію, спожиту у відповідному розрахунковому періоді), Споживач здійснює остаточний розрахунок протягом п’яти банківських днів з дати отримання рахунку.</w:t>
      </w:r>
    </w:p>
    <w:p w14:paraId="41A75A96" w14:textId="77777777" w:rsidR="004C0F76" w:rsidRPr="00853DCF" w:rsidRDefault="004C0F76" w:rsidP="004C0F76">
      <w:pPr>
        <w:spacing w:after="120" w:line="240" w:lineRule="auto"/>
        <w:ind w:firstLine="708"/>
        <w:jc w:val="both"/>
        <w:rPr>
          <w:rFonts w:ascii="Cambria" w:hAnsi="Cambria"/>
          <w:lang w:val="uk-UA"/>
        </w:rPr>
      </w:pPr>
      <w:r w:rsidRPr="00853DCF">
        <w:rPr>
          <w:rFonts w:ascii="Cambria" w:hAnsi="Cambria"/>
          <w:lang w:val="uk-UA"/>
        </w:rPr>
        <w:t>Якщо сума коштів, сплачених Споживачем (за електроенергію, спожиту у відповідному розрахунковому періоді), перевищує фактичну вартість спожитої електроенергії, надлишково сплачені кошти:</w:t>
      </w:r>
    </w:p>
    <w:p w14:paraId="4C4AF193" w14:textId="77777777" w:rsidR="004C0F76" w:rsidRPr="00853DCF" w:rsidRDefault="004C0F76" w:rsidP="004C0F76">
      <w:pPr>
        <w:spacing w:after="120" w:line="240" w:lineRule="auto"/>
        <w:ind w:firstLine="708"/>
        <w:jc w:val="both"/>
        <w:rPr>
          <w:rFonts w:ascii="Cambria" w:hAnsi="Cambria"/>
          <w:lang w:val="uk-UA"/>
        </w:rPr>
      </w:pPr>
      <w:r w:rsidRPr="00853DCF">
        <w:rPr>
          <w:rFonts w:ascii="Cambria" w:hAnsi="Cambria"/>
          <w:lang w:val="uk-UA"/>
        </w:rPr>
        <w:t>- або повертаються Споживачу Постачальником протягом п’яти банківських днів з моменту отримання Постачальником письмової вимоги Споживача про повернення коштів;</w:t>
      </w:r>
    </w:p>
    <w:p w14:paraId="7222805F" w14:textId="77777777" w:rsidR="004C0F76" w:rsidRPr="00853DCF" w:rsidRDefault="004C0F76" w:rsidP="004C0F76">
      <w:pPr>
        <w:spacing w:after="120" w:line="240" w:lineRule="auto"/>
        <w:ind w:firstLine="708"/>
        <w:jc w:val="both"/>
        <w:rPr>
          <w:rFonts w:ascii="Cambria" w:hAnsi="Cambria"/>
          <w:lang w:val="uk-UA"/>
        </w:rPr>
      </w:pPr>
      <w:r w:rsidRPr="00853DCF">
        <w:rPr>
          <w:rFonts w:ascii="Cambria" w:hAnsi="Cambria"/>
          <w:lang w:val="uk-UA"/>
        </w:rPr>
        <w:t>- або враховуються при визначенні чергового платежу Споживача за електроенергію, спожиту у наступному розрахунковому періоді (у разі продовження Договору на наступні розрахункові періоди).</w:t>
      </w:r>
    </w:p>
    <w:p w14:paraId="30A3B2E6" w14:textId="77777777" w:rsidR="00D92FF3" w:rsidRPr="00853DCF" w:rsidRDefault="00D92FF3" w:rsidP="00D92FF3">
      <w:pPr>
        <w:spacing w:after="120" w:line="240" w:lineRule="auto"/>
        <w:ind w:firstLine="708"/>
        <w:jc w:val="both"/>
        <w:rPr>
          <w:rFonts w:ascii="Cambria" w:hAnsi="Cambria"/>
          <w:lang w:val="uk-UA"/>
        </w:rPr>
      </w:pPr>
      <w:r w:rsidRPr="00853DCF">
        <w:rPr>
          <w:rFonts w:ascii="Cambria" w:hAnsi="Cambria"/>
          <w:lang w:val="uk-UA"/>
        </w:rPr>
        <w:t>3.3. Рахунки на оплату електроенергії виставляються Постачальником та надсилаються Споживачу</w:t>
      </w:r>
      <w:r w:rsidR="007D3019" w:rsidRPr="00853DCF">
        <w:rPr>
          <w:rFonts w:ascii="Cambria" w:hAnsi="Cambria"/>
          <w:lang w:val="uk-UA"/>
        </w:rPr>
        <w:t xml:space="preserve"> електронною поштою</w:t>
      </w:r>
      <w:r w:rsidRPr="00853DCF">
        <w:rPr>
          <w:rFonts w:ascii="Cambria" w:hAnsi="Cambria"/>
          <w:lang w:val="uk-UA"/>
        </w:rPr>
        <w:t xml:space="preserve"> за п’ять робочих днів до терміну їх оплати</w:t>
      </w:r>
      <w:r w:rsidR="007D3019" w:rsidRPr="00853DCF">
        <w:rPr>
          <w:rFonts w:ascii="Cambria" w:hAnsi="Cambria"/>
          <w:lang w:val="uk-UA"/>
        </w:rPr>
        <w:t xml:space="preserve"> (з подальшим надісланням поштовим відправленням)</w:t>
      </w:r>
      <w:r w:rsidRPr="00853DCF">
        <w:rPr>
          <w:rFonts w:ascii="Cambria" w:hAnsi="Cambria"/>
          <w:lang w:val="uk-UA"/>
        </w:rPr>
        <w:t xml:space="preserve">. Споживач може здійснювати платежі </w:t>
      </w:r>
      <w:proofErr w:type="spellStart"/>
      <w:r w:rsidRPr="00853DCF">
        <w:rPr>
          <w:rFonts w:ascii="Cambria" w:hAnsi="Cambria"/>
          <w:lang w:val="uk-UA"/>
        </w:rPr>
        <w:t>ініціативно</w:t>
      </w:r>
      <w:proofErr w:type="spellEnd"/>
      <w:r w:rsidRPr="00853DCF">
        <w:rPr>
          <w:rFonts w:ascii="Cambria" w:hAnsi="Cambria"/>
          <w:lang w:val="uk-UA"/>
        </w:rPr>
        <w:t xml:space="preserve"> (без виставлення рахунків) у розмірах та у терміни, </w:t>
      </w:r>
      <w:r w:rsidR="007D3019" w:rsidRPr="00853DCF">
        <w:rPr>
          <w:rFonts w:ascii="Cambria" w:hAnsi="Cambria"/>
          <w:lang w:val="uk-UA"/>
        </w:rPr>
        <w:t xml:space="preserve">які </w:t>
      </w:r>
      <w:r w:rsidRPr="00853DCF">
        <w:rPr>
          <w:rFonts w:ascii="Cambria" w:hAnsi="Cambria"/>
          <w:lang w:val="uk-UA"/>
        </w:rPr>
        <w:t xml:space="preserve">визначені Договором та цією Комерційною пропозицією. </w:t>
      </w:r>
    </w:p>
    <w:p w14:paraId="1312FB19" w14:textId="77777777" w:rsidR="00495EE2" w:rsidRPr="00853DCF" w:rsidRDefault="004F2462" w:rsidP="00495EE2">
      <w:pPr>
        <w:spacing w:after="120" w:line="240" w:lineRule="auto"/>
        <w:ind w:firstLine="708"/>
        <w:jc w:val="both"/>
        <w:rPr>
          <w:rFonts w:ascii="Cambria" w:hAnsi="Cambria"/>
          <w:lang w:val="uk-UA"/>
        </w:rPr>
      </w:pPr>
      <w:r>
        <w:rPr>
          <w:rFonts w:ascii="Cambria" w:hAnsi="Cambria"/>
          <w:lang w:val="uk-UA"/>
        </w:rPr>
        <w:t>3.</w:t>
      </w:r>
      <w:r w:rsidR="00495EE2" w:rsidRPr="00853DCF">
        <w:rPr>
          <w:rFonts w:ascii="Cambria" w:hAnsi="Cambria"/>
          <w:lang w:val="uk-UA"/>
        </w:rPr>
        <w:t>4</w:t>
      </w:r>
      <w:r w:rsidR="004C0F76" w:rsidRPr="00853DCF">
        <w:rPr>
          <w:rFonts w:ascii="Cambria" w:hAnsi="Cambria"/>
          <w:lang w:val="uk-UA"/>
        </w:rPr>
        <w:t xml:space="preserve">. Оплата за послуги з розподілу електричної енергії оператору системи здійснюється </w:t>
      </w:r>
      <w:r w:rsidR="00B247C0" w:rsidRPr="00853DCF">
        <w:rPr>
          <w:rFonts w:ascii="Cambria" w:hAnsi="Cambria"/>
          <w:lang w:val="uk-UA"/>
        </w:rPr>
        <w:t xml:space="preserve">безпосередньо </w:t>
      </w:r>
      <w:r w:rsidR="004C0F76" w:rsidRPr="00853DCF">
        <w:rPr>
          <w:rFonts w:ascii="Cambria" w:hAnsi="Cambria"/>
          <w:lang w:val="uk-UA"/>
        </w:rPr>
        <w:t xml:space="preserve">Споживачем. </w:t>
      </w:r>
    </w:p>
    <w:p w14:paraId="3C211CA0" w14:textId="08973AA6" w:rsidR="00495EE2" w:rsidRPr="00853DCF" w:rsidRDefault="00E42683" w:rsidP="00495EE2">
      <w:pPr>
        <w:spacing w:after="120" w:line="240" w:lineRule="auto"/>
        <w:ind w:firstLine="708"/>
        <w:jc w:val="both"/>
        <w:rPr>
          <w:rFonts w:ascii="Cambria" w:hAnsi="Cambria"/>
          <w:lang w:val="uk-UA"/>
        </w:rPr>
      </w:pPr>
      <w:r>
        <w:rPr>
          <w:rFonts w:ascii="Cambria" w:hAnsi="Cambria"/>
          <w:lang w:val="uk-UA"/>
        </w:rPr>
        <w:t>4</w:t>
      </w:r>
      <w:r w:rsidR="00495EE2" w:rsidRPr="00853DCF">
        <w:rPr>
          <w:rFonts w:ascii="Cambria" w:hAnsi="Cambria"/>
          <w:lang w:val="uk-UA"/>
        </w:rPr>
        <w:t xml:space="preserve">. Розмір пені визначається Договором. </w:t>
      </w:r>
    </w:p>
    <w:p w14:paraId="7C4D045A" w14:textId="342692DE" w:rsidR="00104EC5" w:rsidRPr="00853DCF" w:rsidRDefault="00E42683" w:rsidP="00495EE2">
      <w:pPr>
        <w:spacing w:after="120" w:line="240" w:lineRule="auto"/>
        <w:ind w:firstLine="708"/>
        <w:jc w:val="both"/>
        <w:rPr>
          <w:rFonts w:ascii="Cambria" w:hAnsi="Cambria"/>
          <w:lang w:val="uk-UA"/>
        </w:rPr>
      </w:pPr>
      <w:r>
        <w:rPr>
          <w:rFonts w:ascii="Cambria" w:hAnsi="Cambria"/>
          <w:lang w:val="uk-UA"/>
        </w:rPr>
        <w:t>5</w:t>
      </w:r>
      <w:r w:rsidR="00104EC5" w:rsidRPr="00853DCF">
        <w:rPr>
          <w:rFonts w:ascii="Cambria" w:hAnsi="Cambria"/>
          <w:lang w:val="uk-UA"/>
        </w:rPr>
        <w:t xml:space="preserve">. </w:t>
      </w:r>
      <w:r w:rsidR="004B6DDC" w:rsidRPr="00853DCF">
        <w:rPr>
          <w:rFonts w:ascii="Cambria" w:hAnsi="Cambria"/>
          <w:lang w:val="uk-UA"/>
        </w:rPr>
        <w:t>Розмір компенсації Споживачу за недодержання Постачальником якості надання комерційних послуг визначається згідно чинного законодавства України.</w:t>
      </w:r>
    </w:p>
    <w:p w14:paraId="31ACFDDD" w14:textId="2AC0B39B" w:rsidR="004B6DDC" w:rsidRPr="00853DCF" w:rsidRDefault="00E42683" w:rsidP="00495EE2">
      <w:pPr>
        <w:spacing w:after="120" w:line="240" w:lineRule="auto"/>
        <w:ind w:firstLine="708"/>
        <w:jc w:val="both"/>
        <w:rPr>
          <w:rFonts w:ascii="Cambria" w:hAnsi="Cambria"/>
          <w:lang w:val="uk-UA"/>
        </w:rPr>
      </w:pPr>
      <w:r>
        <w:rPr>
          <w:rFonts w:ascii="Cambria" w:hAnsi="Cambria"/>
          <w:lang w:val="uk-UA"/>
        </w:rPr>
        <w:t>6</w:t>
      </w:r>
      <w:r w:rsidR="004B6DDC" w:rsidRPr="00853DCF">
        <w:rPr>
          <w:rFonts w:ascii="Cambria" w:hAnsi="Cambria"/>
          <w:lang w:val="uk-UA"/>
        </w:rPr>
        <w:t xml:space="preserve">. Постачання електричної енергії за Договором не передбачає </w:t>
      </w:r>
      <w:r w:rsidR="005D434C" w:rsidRPr="00853DCF">
        <w:rPr>
          <w:rFonts w:ascii="Cambria" w:hAnsi="Cambria"/>
          <w:lang w:val="uk-UA"/>
        </w:rPr>
        <w:t>надання</w:t>
      </w:r>
      <w:r w:rsidR="004B6DDC" w:rsidRPr="00853DCF">
        <w:rPr>
          <w:rFonts w:ascii="Cambria" w:hAnsi="Cambria"/>
          <w:lang w:val="uk-UA"/>
        </w:rPr>
        <w:t xml:space="preserve"> пільг та субсидій.</w:t>
      </w:r>
    </w:p>
    <w:p w14:paraId="5493C2DA" w14:textId="77777777" w:rsidR="004C0F76" w:rsidRPr="00853DCF" w:rsidRDefault="004C0F76" w:rsidP="004C0F76">
      <w:pPr>
        <w:spacing w:after="120" w:line="240" w:lineRule="auto"/>
        <w:ind w:firstLine="708"/>
        <w:jc w:val="both"/>
        <w:rPr>
          <w:rFonts w:ascii="Cambria" w:hAnsi="Cambria"/>
          <w:lang w:val="uk-UA"/>
        </w:rPr>
      </w:pPr>
    </w:p>
    <w:p w14:paraId="43A70E8B" w14:textId="77777777" w:rsidR="00FB64F5" w:rsidRPr="00853DCF" w:rsidRDefault="00FB64F5" w:rsidP="00FB64F5">
      <w:pPr>
        <w:rPr>
          <w:rFonts w:ascii="Cambria" w:hAnsi="Cambria"/>
          <w:b/>
          <w:lang w:val="uk-UA"/>
        </w:rPr>
      </w:pPr>
      <w:r w:rsidRPr="00853DCF">
        <w:rPr>
          <w:rFonts w:ascii="Cambria" w:hAnsi="Cambria"/>
          <w:b/>
          <w:lang w:val="uk-UA"/>
        </w:rPr>
        <w:t xml:space="preserve">ПОСТАЧАЛЬНИК </w:t>
      </w:r>
    </w:p>
    <w:p w14:paraId="7AE5D32B" w14:textId="2864ADF7" w:rsidR="00FB64F5" w:rsidRPr="00853DCF" w:rsidRDefault="00BC3D7E" w:rsidP="00FB64F5">
      <w:pPr>
        <w:rPr>
          <w:rFonts w:ascii="Cambria" w:hAnsi="Cambria"/>
          <w:lang w:val="uk-UA"/>
        </w:rPr>
      </w:pPr>
      <w:r w:rsidRPr="00BC3D7E">
        <w:rPr>
          <w:rFonts w:ascii="Cambria" w:hAnsi="Cambria"/>
          <w:lang w:val="uk-UA"/>
        </w:rPr>
        <w:t>ТОВ «ІТ Енергія»</w:t>
      </w:r>
    </w:p>
    <w:p w14:paraId="5DE30F4E" w14:textId="77777777" w:rsidR="00C239F3" w:rsidRDefault="00C239F3" w:rsidP="00FB64F5">
      <w:pPr>
        <w:spacing w:after="120" w:line="240" w:lineRule="auto"/>
        <w:jc w:val="both"/>
        <w:rPr>
          <w:rFonts w:ascii="Cambria" w:hAnsi="Cambria"/>
        </w:rPr>
      </w:pPr>
    </w:p>
    <w:p w14:paraId="6ACF18BF" w14:textId="77777777" w:rsidR="004C0F76" w:rsidRPr="00853DCF" w:rsidRDefault="00FB64F5" w:rsidP="00FB64F5">
      <w:pPr>
        <w:spacing w:after="120" w:line="240" w:lineRule="auto"/>
        <w:jc w:val="both"/>
        <w:rPr>
          <w:rFonts w:ascii="Cambria" w:hAnsi="Cambria"/>
          <w:lang w:val="uk-UA"/>
        </w:rPr>
      </w:pPr>
      <w:r w:rsidRPr="00853DCF">
        <w:rPr>
          <w:rFonts w:ascii="Cambria" w:hAnsi="Cambria"/>
        </w:rPr>
        <w:t>Директор                 В.А. Цецюрський</w:t>
      </w:r>
    </w:p>
    <w:p w14:paraId="25F5496E" w14:textId="77777777" w:rsidR="00A80E0A" w:rsidRPr="00853DCF" w:rsidRDefault="00A80E0A">
      <w:pPr>
        <w:rPr>
          <w:rFonts w:ascii="Cambria" w:hAnsi="Cambria"/>
          <w:lang w:val="uk-UA"/>
        </w:rPr>
      </w:pPr>
    </w:p>
    <w:sectPr w:rsidR="00A80E0A" w:rsidRPr="00853DCF" w:rsidSect="00A4191F">
      <w:footerReference w:type="default" r:id="rId11"/>
      <w:pgSz w:w="11906" w:h="16838"/>
      <w:pgMar w:top="851" w:right="850" w:bottom="851" w:left="1134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B943D" w14:textId="77777777" w:rsidR="00D968A7" w:rsidRDefault="00D968A7">
      <w:pPr>
        <w:spacing w:after="0" w:line="240" w:lineRule="auto"/>
      </w:pPr>
      <w:r>
        <w:separator/>
      </w:r>
    </w:p>
  </w:endnote>
  <w:endnote w:type="continuationSeparator" w:id="0">
    <w:p w14:paraId="6BC3BBD7" w14:textId="77777777" w:rsidR="00D968A7" w:rsidRDefault="00D968A7">
      <w:pPr>
        <w:spacing w:after="0" w:line="240" w:lineRule="auto"/>
      </w:pPr>
      <w:r>
        <w:continuationSeparator/>
      </w:r>
    </w:p>
  </w:endnote>
  <w:endnote w:type="continuationNotice" w:id="1">
    <w:p w14:paraId="50B014C2" w14:textId="77777777" w:rsidR="00D968A7" w:rsidRDefault="00D968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061117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9DF6F90" w14:textId="77777777" w:rsidR="00AA7AF2" w:rsidRPr="00223818" w:rsidRDefault="005700E1">
        <w:pPr>
          <w:pStyle w:val="a3"/>
          <w:jc w:val="center"/>
          <w:rPr>
            <w:sz w:val="16"/>
            <w:szCs w:val="16"/>
          </w:rPr>
        </w:pPr>
        <w:r w:rsidRPr="00223818">
          <w:rPr>
            <w:sz w:val="16"/>
            <w:szCs w:val="16"/>
          </w:rPr>
          <w:fldChar w:fldCharType="begin"/>
        </w:r>
        <w:r w:rsidRPr="00223818">
          <w:rPr>
            <w:sz w:val="16"/>
            <w:szCs w:val="16"/>
          </w:rPr>
          <w:instrText>PAGE   \* MERGEFORMAT</w:instrText>
        </w:r>
        <w:r w:rsidRPr="00223818">
          <w:rPr>
            <w:sz w:val="16"/>
            <w:szCs w:val="16"/>
          </w:rPr>
          <w:fldChar w:fldCharType="separate"/>
        </w:r>
        <w:r w:rsidR="00D52550">
          <w:rPr>
            <w:noProof/>
            <w:sz w:val="16"/>
            <w:szCs w:val="16"/>
          </w:rPr>
          <w:t>1</w:t>
        </w:r>
        <w:r w:rsidRPr="00223818">
          <w:rPr>
            <w:sz w:val="16"/>
            <w:szCs w:val="16"/>
          </w:rPr>
          <w:fldChar w:fldCharType="end"/>
        </w:r>
      </w:p>
    </w:sdtContent>
  </w:sdt>
  <w:p w14:paraId="2BC7AA3A" w14:textId="77777777" w:rsidR="00AA7AF2" w:rsidRDefault="00AA7A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47485" w14:textId="77777777" w:rsidR="00D968A7" w:rsidRDefault="00D968A7">
      <w:pPr>
        <w:spacing w:after="0" w:line="240" w:lineRule="auto"/>
      </w:pPr>
      <w:r>
        <w:separator/>
      </w:r>
    </w:p>
  </w:footnote>
  <w:footnote w:type="continuationSeparator" w:id="0">
    <w:p w14:paraId="7EFAE53B" w14:textId="77777777" w:rsidR="00D968A7" w:rsidRDefault="00D968A7">
      <w:pPr>
        <w:spacing w:after="0" w:line="240" w:lineRule="auto"/>
      </w:pPr>
      <w:r>
        <w:continuationSeparator/>
      </w:r>
    </w:p>
  </w:footnote>
  <w:footnote w:type="continuationNotice" w:id="1">
    <w:p w14:paraId="7B20EEF5" w14:textId="77777777" w:rsidR="00D968A7" w:rsidRDefault="00D968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A4767E"/>
    <w:multiLevelType w:val="hybridMultilevel"/>
    <w:tmpl w:val="E3B2A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21EBA"/>
    <w:multiLevelType w:val="hybridMultilevel"/>
    <w:tmpl w:val="E910A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335BA"/>
    <w:multiLevelType w:val="hybridMultilevel"/>
    <w:tmpl w:val="E3B2A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850749">
    <w:abstractNumId w:val="2"/>
  </w:num>
  <w:num w:numId="2" w16cid:durableId="1012339289">
    <w:abstractNumId w:val="0"/>
  </w:num>
  <w:num w:numId="3" w16cid:durableId="1010329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E4"/>
    <w:rsid w:val="000068BF"/>
    <w:rsid w:val="00022365"/>
    <w:rsid w:val="00045919"/>
    <w:rsid w:val="00066AFF"/>
    <w:rsid w:val="00067E85"/>
    <w:rsid w:val="00071B86"/>
    <w:rsid w:val="00081A6B"/>
    <w:rsid w:val="00096A71"/>
    <w:rsid w:val="00097855"/>
    <w:rsid w:val="000E4E7E"/>
    <w:rsid w:val="000E53DE"/>
    <w:rsid w:val="000F007C"/>
    <w:rsid w:val="00104EC5"/>
    <w:rsid w:val="00123A41"/>
    <w:rsid w:val="00191BA0"/>
    <w:rsid w:val="001A1AFC"/>
    <w:rsid w:val="001B48BB"/>
    <w:rsid w:val="001C7F81"/>
    <w:rsid w:val="001E0C01"/>
    <w:rsid w:val="001E60AA"/>
    <w:rsid w:val="001F4339"/>
    <w:rsid w:val="00211F58"/>
    <w:rsid w:val="002132F4"/>
    <w:rsid w:val="00241FA8"/>
    <w:rsid w:val="00244FD2"/>
    <w:rsid w:val="00245494"/>
    <w:rsid w:val="00246F13"/>
    <w:rsid w:val="00270C51"/>
    <w:rsid w:val="00294001"/>
    <w:rsid w:val="002A508A"/>
    <w:rsid w:val="002B4954"/>
    <w:rsid w:val="002C01EE"/>
    <w:rsid w:val="0031503C"/>
    <w:rsid w:val="003613E4"/>
    <w:rsid w:val="00365469"/>
    <w:rsid w:val="00366D7F"/>
    <w:rsid w:val="003A54A5"/>
    <w:rsid w:val="003B45D0"/>
    <w:rsid w:val="003C7AE3"/>
    <w:rsid w:val="00406063"/>
    <w:rsid w:val="00413BCE"/>
    <w:rsid w:val="00443E62"/>
    <w:rsid w:val="004569CD"/>
    <w:rsid w:val="0046704D"/>
    <w:rsid w:val="004754EA"/>
    <w:rsid w:val="004819EE"/>
    <w:rsid w:val="00495EE2"/>
    <w:rsid w:val="004A2915"/>
    <w:rsid w:val="004B6DDC"/>
    <w:rsid w:val="004C00D7"/>
    <w:rsid w:val="004C0F76"/>
    <w:rsid w:val="004F2462"/>
    <w:rsid w:val="00545B97"/>
    <w:rsid w:val="0056446B"/>
    <w:rsid w:val="005700E1"/>
    <w:rsid w:val="00571A18"/>
    <w:rsid w:val="00583E59"/>
    <w:rsid w:val="00596841"/>
    <w:rsid w:val="00597621"/>
    <w:rsid w:val="005C62A2"/>
    <w:rsid w:val="005D434C"/>
    <w:rsid w:val="00626BD8"/>
    <w:rsid w:val="00645AAD"/>
    <w:rsid w:val="00646E3E"/>
    <w:rsid w:val="006545E4"/>
    <w:rsid w:val="00661194"/>
    <w:rsid w:val="0067100D"/>
    <w:rsid w:val="006B3FE7"/>
    <w:rsid w:val="006C26DE"/>
    <w:rsid w:val="006E4AF4"/>
    <w:rsid w:val="006E7EB2"/>
    <w:rsid w:val="00704E96"/>
    <w:rsid w:val="00704FF1"/>
    <w:rsid w:val="00705AE8"/>
    <w:rsid w:val="00731A94"/>
    <w:rsid w:val="007344C1"/>
    <w:rsid w:val="00736EF3"/>
    <w:rsid w:val="00762F0A"/>
    <w:rsid w:val="0077140E"/>
    <w:rsid w:val="007D3019"/>
    <w:rsid w:val="00814135"/>
    <w:rsid w:val="00843141"/>
    <w:rsid w:val="00853DCF"/>
    <w:rsid w:val="00854D67"/>
    <w:rsid w:val="00862CB8"/>
    <w:rsid w:val="00866AC6"/>
    <w:rsid w:val="008706D9"/>
    <w:rsid w:val="00892AFC"/>
    <w:rsid w:val="008C2461"/>
    <w:rsid w:val="008F7234"/>
    <w:rsid w:val="00903C7C"/>
    <w:rsid w:val="00957AD2"/>
    <w:rsid w:val="009966C5"/>
    <w:rsid w:val="00997404"/>
    <w:rsid w:val="009A658C"/>
    <w:rsid w:val="009B6851"/>
    <w:rsid w:val="009F149B"/>
    <w:rsid w:val="00A07D02"/>
    <w:rsid w:val="00A1630E"/>
    <w:rsid w:val="00A303F9"/>
    <w:rsid w:val="00A4370F"/>
    <w:rsid w:val="00A6573B"/>
    <w:rsid w:val="00A80AA4"/>
    <w:rsid w:val="00A80E0A"/>
    <w:rsid w:val="00A816F6"/>
    <w:rsid w:val="00A94133"/>
    <w:rsid w:val="00A952FE"/>
    <w:rsid w:val="00AA63C7"/>
    <w:rsid w:val="00AA7AF2"/>
    <w:rsid w:val="00AF6346"/>
    <w:rsid w:val="00B247C0"/>
    <w:rsid w:val="00B2788D"/>
    <w:rsid w:val="00B325FA"/>
    <w:rsid w:val="00B936CC"/>
    <w:rsid w:val="00B95010"/>
    <w:rsid w:val="00BB46CB"/>
    <w:rsid w:val="00BC3D7E"/>
    <w:rsid w:val="00C10985"/>
    <w:rsid w:val="00C239F3"/>
    <w:rsid w:val="00C41FB4"/>
    <w:rsid w:val="00C43640"/>
    <w:rsid w:val="00C50148"/>
    <w:rsid w:val="00C55AFE"/>
    <w:rsid w:val="00C83266"/>
    <w:rsid w:val="00C87512"/>
    <w:rsid w:val="00C92107"/>
    <w:rsid w:val="00CA037B"/>
    <w:rsid w:val="00CB2AFC"/>
    <w:rsid w:val="00CC6B03"/>
    <w:rsid w:val="00D41DA9"/>
    <w:rsid w:val="00D52550"/>
    <w:rsid w:val="00D62FC7"/>
    <w:rsid w:val="00D76541"/>
    <w:rsid w:val="00D92FF3"/>
    <w:rsid w:val="00D968A7"/>
    <w:rsid w:val="00E00144"/>
    <w:rsid w:val="00E06D8E"/>
    <w:rsid w:val="00E25701"/>
    <w:rsid w:val="00E42683"/>
    <w:rsid w:val="00E5080E"/>
    <w:rsid w:val="00E54352"/>
    <w:rsid w:val="00E75678"/>
    <w:rsid w:val="00E8667A"/>
    <w:rsid w:val="00EB6CF6"/>
    <w:rsid w:val="00EC1989"/>
    <w:rsid w:val="00F13A3E"/>
    <w:rsid w:val="00F236A6"/>
    <w:rsid w:val="00F315EC"/>
    <w:rsid w:val="00F66F2A"/>
    <w:rsid w:val="00F7687E"/>
    <w:rsid w:val="00F9587D"/>
    <w:rsid w:val="00FB1D94"/>
    <w:rsid w:val="00FB64F5"/>
    <w:rsid w:val="00FC04E1"/>
    <w:rsid w:val="00FD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41A0"/>
  <w15:docId w15:val="{0FE380AD-E27A-45CE-927C-C6D83717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3E4"/>
  </w:style>
  <w:style w:type="paragraph" w:styleId="2">
    <w:name w:val="heading 2"/>
    <w:basedOn w:val="a"/>
    <w:next w:val="a"/>
    <w:link w:val="20"/>
    <w:qFormat/>
    <w:rsid w:val="004C0F7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61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613E4"/>
  </w:style>
  <w:style w:type="paragraph" w:styleId="a5">
    <w:name w:val="List Paragraph"/>
    <w:basedOn w:val="a"/>
    <w:uiPriority w:val="34"/>
    <w:qFormat/>
    <w:rsid w:val="00646E3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C0F7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Plain Text"/>
    <w:basedOn w:val="a"/>
    <w:link w:val="a7"/>
    <w:uiPriority w:val="99"/>
    <w:semiHidden/>
    <w:unhideWhenUsed/>
    <w:rsid w:val="003A54A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3A54A5"/>
    <w:rPr>
      <w:rFonts w:ascii="Calibri" w:eastAsia="Calibri" w:hAnsi="Calibri" w:cs="Times New Roman"/>
      <w:szCs w:val="21"/>
    </w:rPr>
  </w:style>
  <w:style w:type="table" w:styleId="a8">
    <w:name w:val="Table Grid"/>
    <w:basedOn w:val="a1"/>
    <w:uiPriority w:val="59"/>
    <w:rsid w:val="00E86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26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F13A3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13A3E"/>
  </w:style>
  <w:style w:type="character" w:styleId="ad">
    <w:name w:val="Hyperlink"/>
    <w:basedOn w:val="a0"/>
    <w:uiPriority w:val="99"/>
    <w:unhideWhenUsed/>
    <w:rsid w:val="00A07D02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07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71e31d-3f2f-409a-ab6d-a81c251c985a" xsi:nil="true"/>
    <lcf76f155ced4ddcb4097134ff3c332f xmlns="426f4b7d-5227-4ebb-a6d6-959a0f81286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1E21230DC43584D8B4638889B84DF6F" ma:contentTypeVersion="14" ma:contentTypeDescription="Создание документа." ma:contentTypeScope="" ma:versionID="783ec608c7f4cb40b53493c0401e2431">
  <xsd:schema xmlns:xsd="http://www.w3.org/2001/XMLSchema" xmlns:xs="http://www.w3.org/2001/XMLSchema" xmlns:p="http://schemas.microsoft.com/office/2006/metadata/properties" xmlns:ns2="426f4b7d-5227-4ebb-a6d6-959a0f81286b" xmlns:ns3="cd71e31d-3f2f-409a-ab6d-a81c251c985a" targetNamespace="http://schemas.microsoft.com/office/2006/metadata/properties" ma:root="true" ma:fieldsID="19076965ce64653a09f79af3e10ae75f" ns2:_="" ns3:_="">
    <xsd:import namespace="426f4b7d-5227-4ebb-a6d6-959a0f81286b"/>
    <xsd:import namespace="cd71e31d-3f2f-409a-ab6d-a81c251c9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f4b7d-5227-4ebb-a6d6-959a0f812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0b86d704-ef74-4987-b410-f6136cc829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1e31d-3f2f-409a-ab6d-a81c251c9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f9828b5-83d2-4742-80d6-a7a5ba1a2f69}" ma:internalName="TaxCatchAll" ma:showField="CatchAllData" ma:web="cd71e31d-3f2f-409a-ab6d-a81c251c9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BFDE9A-C105-45EB-8C10-7E7548C5B8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1BE417-B175-4111-9B94-E873F1150A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E3D807-40EB-4884-AD2B-E118BCA3D796}">
  <ds:schemaRefs>
    <ds:schemaRef ds:uri="http://schemas.microsoft.com/office/2006/metadata/properties"/>
    <ds:schemaRef ds:uri="http://schemas.microsoft.com/office/infopath/2007/PartnerControls"/>
    <ds:schemaRef ds:uri="8c516bb4-a4ad-4f85-ade3-20acb9c480c5"/>
    <ds:schemaRef ds:uri="b59b82ea-abe3-4bc6-8b52-e693f68aa2c5"/>
  </ds:schemaRefs>
</ds:datastoreItem>
</file>

<file path=customXml/itemProps4.xml><?xml version="1.0" encoding="utf-8"?>
<ds:datastoreItem xmlns:ds="http://schemas.openxmlformats.org/officeDocument/2006/customXml" ds:itemID="{DA40BD5D-31F2-49A9-974D-2F1AC90520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2535</Words>
  <Characters>1445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Links>
    <vt:vector size="6" baseType="variant">
      <vt:variant>
        <vt:i4>1179680</vt:i4>
      </vt:variant>
      <vt:variant>
        <vt:i4>0</vt:i4>
      </vt:variant>
      <vt:variant>
        <vt:i4>0</vt:i4>
      </vt:variant>
      <vt:variant>
        <vt:i4>5</vt:i4>
      </vt:variant>
      <vt:variant>
        <vt:lpwstr>mailto:info@ite.energy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 Цецюрський</cp:lastModifiedBy>
  <cp:revision>9</cp:revision>
  <cp:lastPrinted>2023-12-19T12:52:00Z</cp:lastPrinted>
  <dcterms:created xsi:type="dcterms:W3CDTF">2024-12-16T12:33:00Z</dcterms:created>
  <dcterms:modified xsi:type="dcterms:W3CDTF">2024-12-16T14:13:00Z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0x01010001E21230DC43584D8B4638889B84DF6F</vt:lpwstr>
  </property>
  <property fmtid="{D5CDD505-2E9C-101B-9397-08002B2CF9AE}" pid="3" name="MediaServiceImageTags">
    <vt:lpwstr/>
  </property>
</Properties>
</file>